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151A" w14:textId="77777777" w:rsidR="001D0A28" w:rsidRDefault="00000000">
      <w:pPr>
        <w:jc w:val="center"/>
        <w:rPr>
          <w:rFonts w:ascii="Arial" w:eastAsia="Arial" w:hAnsi="Arial" w:cs="Arial"/>
          <w:b/>
        </w:rPr>
      </w:pPr>
      <w:r>
        <w:rPr>
          <w:rFonts w:ascii="Arial" w:eastAsia="Arial" w:hAnsi="Arial" w:cs="Arial"/>
          <w:b/>
        </w:rPr>
        <w:t>Enloe Magnet High School</w:t>
      </w:r>
    </w:p>
    <w:p w14:paraId="71E05CFC" w14:textId="77777777" w:rsidR="001D0A28" w:rsidRDefault="00000000">
      <w:pPr>
        <w:widowControl w:val="0"/>
        <w:spacing w:after="7"/>
        <w:jc w:val="center"/>
        <w:rPr>
          <w:rFonts w:ascii="Arial" w:eastAsia="Arial" w:hAnsi="Arial" w:cs="Arial"/>
          <w:b/>
          <w:sz w:val="20"/>
          <w:szCs w:val="20"/>
        </w:rPr>
      </w:pPr>
      <w:r>
        <w:rPr>
          <w:rFonts w:ascii="Arial" w:eastAsia="Arial" w:hAnsi="Arial" w:cs="Arial"/>
          <w:b/>
          <w:sz w:val="20"/>
          <w:szCs w:val="20"/>
        </w:rPr>
        <w:t xml:space="preserve">2022-2023 </w:t>
      </w:r>
      <w:r>
        <w:rPr>
          <w:rFonts w:ascii="Arial" w:eastAsia="Arial" w:hAnsi="Arial" w:cs="Arial"/>
          <w:b/>
          <w:sz w:val="20"/>
          <w:szCs w:val="20"/>
          <w:highlight w:val="white"/>
        </w:rPr>
        <w:t>Calculus BC G</w:t>
      </w:r>
      <w:r>
        <w:rPr>
          <w:rFonts w:ascii="Arial" w:eastAsia="Arial" w:hAnsi="Arial" w:cs="Arial"/>
          <w:b/>
          <w:sz w:val="20"/>
          <w:szCs w:val="20"/>
        </w:rPr>
        <w:t>rading Plan</w:t>
      </w:r>
    </w:p>
    <w:p w14:paraId="475C27E2" w14:textId="77777777" w:rsidR="001D0A28" w:rsidRDefault="001D0A28">
      <w:pPr>
        <w:widowControl w:val="0"/>
        <w:spacing w:after="7"/>
        <w:rPr>
          <w:rFonts w:ascii="Arial" w:eastAsia="Arial" w:hAnsi="Arial" w:cs="Arial"/>
          <w:b/>
          <w:sz w:val="20"/>
          <w:szCs w:val="20"/>
        </w:rPr>
      </w:pPr>
    </w:p>
    <w:p w14:paraId="3572D827" w14:textId="77777777" w:rsidR="001D0A28" w:rsidRDefault="00000000">
      <w:pPr>
        <w:rPr>
          <w:rFonts w:ascii="Arial" w:eastAsia="Arial" w:hAnsi="Arial" w:cs="Arial"/>
          <w:sz w:val="20"/>
          <w:szCs w:val="20"/>
        </w:rPr>
      </w:pPr>
      <w:r>
        <w:rPr>
          <w:rFonts w:ascii="Arial" w:eastAsia="Arial" w:hAnsi="Arial" w:cs="Arial"/>
          <w:sz w:val="20"/>
          <w:szCs w:val="20"/>
        </w:rPr>
        <w:t>Wake County Public School System is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p>
    <w:p w14:paraId="11DB1BD9" w14:textId="77777777" w:rsidR="001D0A28" w:rsidRDefault="001D0A28">
      <w:pPr>
        <w:rPr>
          <w:rFonts w:ascii="Arial" w:eastAsia="Arial" w:hAnsi="Arial" w:cs="Arial"/>
          <w:sz w:val="20"/>
          <w:szCs w:val="20"/>
        </w:rPr>
      </w:pPr>
    </w:p>
    <w:p w14:paraId="1DC818D8" w14:textId="77777777" w:rsidR="001D0A28" w:rsidRDefault="001D0A28">
      <w:pPr>
        <w:rPr>
          <w:sz w:val="22"/>
          <w:szCs w:val="22"/>
        </w:rPr>
      </w:pPr>
    </w:p>
    <w:tbl>
      <w:tblPr>
        <w:tblStyle w:val="a"/>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1D0A28" w14:paraId="30956751" w14:textId="77777777">
        <w:tc>
          <w:tcPr>
            <w:tcW w:w="10152" w:type="dxa"/>
            <w:shd w:val="clear" w:color="auto" w:fill="D9D9D9"/>
          </w:tcPr>
          <w:p w14:paraId="206DD51C" w14:textId="77777777" w:rsidR="001D0A28" w:rsidRDefault="00000000">
            <w:pPr>
              <w:jc w:val="center"/>
              <w:rPr>
                <w:rFonts w:ascii="Arial" w:eastAsia="Arial" w:hAnsi="Arial" w:cs="Arial"/>
                <w:b/>
                <w:sz w:val="20"/>
                <w:szCs w:val="20"/>
              </w:rPr>
            </w:pPr>
            <w:r>
              <w:rPr>
                <w:rFonts w:ascii="Arial" w:eastAsia="Arial" w:hAnsi="Arial" w:cs="Arial"/>
                <w:b/>
                <w:sz w:val="20"/>
                <w:szCs w:val="20"/>
              </w:rPr>
              <w:t xml:space="preserve">Grade Calculation </w:t>
            </w:r>
          </w:p>
        </w:tc>
      </w:tr>
    </w:tbl>
    <w:p w14:paraId="6EA96797" w14:textId="77777777" w:rsidR="001D0A28" w:rsidRDefault="00000000">
      <w:pPr>
        <w:rPr>
          <w:rFonts w:ascii="Arial" w:eastAsia="Arial" w:hAnsi="Arial" w:cs="Arial"/>
          <w:sz w:val="20"/>
          <w:szCs w:val="20"/>
          <w:highlight w:val="white"/>
        </w:rPr>
      </w:pPr>
      <w:r>
        <w:rPr>
          <w:rFonts w:ascii="Arial" w:eastAsia="Arial" w:hAnsi="Arial" w:cs="Arial"/>
          <w:sz w:val="20"/>
          <w:szCs w:val="20"/>
        </w:rPr>
        <w:t>Here i</w:t>
      </w:r>
      <w:r>
        <w:rPr>
          <w:rFonts w:ascii="Arial" w:eastAsia="Arial" w:hAnsi="Arial" w:cs="Arial"/>
          <w:sz w:val="20"/>
          <w:szCs w:val="20"/>
          <w:highlight w:val="white"/>
        </w:rPr>
        <w:t>s how our PLT will determine the quarter grades:</w:t>
      </w:r>
    </w:p>
    <w:p w14:paraId="73F7EB89" w14:textId="77777777" w:rsidR="001D0A28" w:rsidRDefault="00000000">
      <w:pPr>
        <w:ind w:left="720" w:firstLine="720"/>
        <w:rPr>
          <w:rFonts w:ascii="Arial" w:eastAsia="Arial" w:hAnsi="Arial" w:cs="Arial"/>
          <w:b/>
          <w:sz w:val="20"/>
          <w:szCs w:val="20"/>
          <w:highlight w:val="white"/>
          <w:u w:val="single"/>
        </w:rPr>
      </w:pPr>
      <w:r>
        <w:rPr>
          <w:rFonts w:ascii="Arial" w:eastAsia="Arial" w:hAnsi="Arial" w:cs="Arial"/>
          <w:b/>
          <w:sz w:val="20"/>
          <w:szCs w:val="20"/>
          <w:highlight w:val="white"/>
          <w:u w:val="single"/>
        </w:rPr>
        <w:t>Final Grade</w:t>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r>
      <w:r>
        <w:rPr>
          <w:rFonts w:ascii="Arial" w:eastAsia="Arial" w:hAnsi="Arial" w:cs="Arial"/>
          <w:b/>
          <w:sz w:val="20"/>
          <w:szCs w:val="20"/>
          <w:highlight w:val="white"/>
          <w:u w:val="single"/>
        </w:rPr>
        <w:tab/>
        <w:t>Quarter Grade</w:t>
      </w:r>
    </w:p>
    <w:p w14:paraId="0913E554" w14:textId="77777777" w:rsidR="001D0A28"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1</w:t>
      </w:r>
      <w:r>
        <w:rPr>
          <w:rFonts w:ascii="Arial" w:eastAsia="Arial" w:hAnsi="Arial" w:cs="Arial"/>
          <w:sz w:val="20"/>
          <w:szCs w:val="20"/>
          <w:highlight w:val="white"/>
          <w:vertAlign w:val="superscript"/>
        </w:rPr>
        <w:t>st</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p>
    <w:p w14:paraId="5B51730C" w14:textId="77777777" w:rsidR="001D0A28"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2</w:t>
      </w:r>
      <w:r>
        <w:rPr>
          <w:rFonts w:ascii="Arial" w:eastAsia="Arial" w:hAnsi="Arial" w:cs="Arial"/>
          <w:sz w:val="20"/>
          <w:szCs w:val="20"/>
          <w:highlight w:val="white"/>
          <w:vertAlign w:val="superscript"/>
        </w:rPr>
        <w:t>nd</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i/>
          <w:sz w:val="20"/>
          <w:szCs w:val="20"/>
          <w:highlight w:val="white"/>
        </w:rPr>
        <w:t>Tests</w:t>
      </w:r>
      <w:r>
        <w:rPr>
          <w:rFonts w:ascii="Arial" w:eastAsia="Arial" w:hAnsi="Arial" w:cs="Arial"/>
          <w:i/>
          <w:sz w:val="20"/>
          <w:szCs w:val="20"/>
          <w:highlight w:val="white"/>
        </w:rPr>
        <w:tab/>
      </w:r>
      <w:r>
        <w:rPr>
          <w:rFonts w:ascii="Arial" w:eastAsia="Arial" w:hAnsi="Arial" w:cs="Arial"/>
          <w:i/>
          <w:sz w:val="20"/>
          <w:szCs w:val="20"/>
          <w:highlight w:val="white"/>
        </w:rPr>
        <w:tab/>
      </w:r>
      <w:r>
        <w:rPr>
          <w:rFonts w:ascii="Arial" w:eastAsia="Arial" w:hAnsi="Arial" w:cs="Arial"/>
          <w:i/>
          <w:sz w:val="20"/>
          <w:szCs w:val="20"/>
          <w:highlight w:val="white"/>
        </w:rPr>
        <w:tab/>
        <w:t>-----</w:t>
      </w:r>
      <w:r>
        <w:rPr>
          <w:rFonts w:ascii="Arial" w:eastAsia="Arial" w:hAnsi="Arial" w:cs="Arial"/>
          <w:i/>
          <w:sz w:val="20"/>
          <w:szCs w:val="20"/>
          <w:highlight w:val="white"/>
        </w:rPr>
        <w:tab/>
        <w:t>60%</w:t>
      </w:r>
      <w:r>
        <w:rPr>
          <w:rFonts w:ascii="Arial" w:eastAsia="Arial" w:hAnsi="Arial" w:cs="Arial"/>
          <w:sz w:val="20"/>
          <w:szCs w:val="20"/>
          <w:highlight w:val="white"/>
        </w:rPr>
        <w:t xml:space="preserve"> </w:t>
      </w:r>
    </w:p>
    <w:p w14:paraId="5EB781A7" w14:textId="77777777" w:rsidR="001D0A28"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3</w:t>
      </w:r>
      <w:r>
        <w:rPr>
          <w:rFonts w:ascii="Arial" w:eastAsia="Arial" w:hAnsi="Arial" w:cs="Arial"/>
          <w:sz w:val="20"/>
          <w:szCs w:val="20"/>
          <w:highlight w:val="white"/>
          <w:vertAlign w:val="superscript"/>
        </w:rPr>
        <w:t>rd</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p>
    <w:p w14:paraId="40F5CBE5" w14:textId="77777777" w:rsidR="001D0A28"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4</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Quarter</w:t>
      </w:r>
      <w:r>
        <w:rPr>
          <w:rFonts w:ascii="Arial" w:eastAsia="Arial" w:hAnsi="Arial" w:cs="Arial"/>
          <w:sz w:val="20"/>
          <w:szCs w:val="20"/>
          <w:highlight w:val="white"/>
        </w:rPr>
        <w:tab/>
        <w:t xml:space="preserve"> 20%</w:t>
      </w:r>
      <w:r>
        <w:rPr>
          <w:rFonts w:ascii="Arial" w:eastAsia="Arial" w:hAnsi="Arial" w:cs="Arial"/>
          <w:sz w:val="20"/>
          <w:szCs w:val="20"/>
          <w:highlight w:val="white"/>
        </w:rPr>
        <w:tab/>
      </w:r>
      <w:r>
        <w:rPr>
          <w:rFonts w:ascii="Arial" w:eastAsia="Arial" w:hAnsi="Arial" w:cs="Arial"/>
          <w:sz w:val="20"/>
          <w:szCs w:val="20"/>
          <w:highlight w:val="white"/>
        </w:rPr>
        <w:tab/>
      </w:r>
      <w:r>
        <w:rPr>
          <w:rFonts w:ascii="Arial" w:eastAsia="Arial" w:hAnsi="Arial" w:cs="Arial"/>
          <w:sz w:val="20"/>
          <w:szCs w:val="20"/>
          <w:highlight w:val="white"/>
        </w:rPr>
        <w:tab/>
        <w:t xml:space="preserve">Quizzes/homework </w:t>
      </w:r>
      <w:r>
        <w:rPr>
          <w:rFonts w:ascii="Arial" w:eastAsia="Arial" w:hAnsi="Arial" w:cs="Arial"/>
          <w:sz w:val="20"/>
          <w:szCs w:val="20"/>
          <w:highlight w:val="white"/>
        </w:rPr>
        <w:tab/>
      </w:r>
      <w:r>
        <w:rPr>
          <w:rFonts w:ascii="Arial" w:eastAsia="Arial" w:hAnsi="Arial" w:cs="Arial"/>
          <w:sz w:val="20"/>
          <w:szCs w:val="20"/>
          <w:highlight w:val="white"/>
        </w:rPr>
        <w:tab/>
        <w:t xml:space="preserve">40% </w:t>
      </w:r>
    </w:p>
    <w:p w14:paraId="309BDD12" w14:textId="77777777" w:rsidR="001D0A28" w:rsidRDefault="001D0A28">
      <w:pPr>
        <w:rPr>
          <w:rFonts w:ascii="Arial" w:eastAsia="Arial" w:hAnsi="Arial" w:cs="Arial"/>
          <w:sz w:val="20"/>
          <w:szCs w:val="20"/>
          <w:highlight w:val="white"/>
        </w:rPr>
      </w:pPr>
    </w:p>
    <w:p w14:paraId="667CBCF3" w14:textId="77777777" w:rsidR="001D0A28" w:rsidRDefault="00000000">
      <w:pPr>
        <w:ind w:left="720" w:firstLine="720"/>
        <w:rPr>
          <w:rFonts w:ascii="Arial" w:eastAsia="Arial" w:hAnsi="Arial" w:cs="Arial"/>
          <w:sz w:val="20"/>
          <w:szCs w:val="20"/>
          <w:highlight w:val="white"/>
        </w:rPr>
      </w:pPr>
      <w:r>
        <w:rPr>
          <w:rFonts w:ascii="Arial" w:eastAsia="Arial" w:hAnsi="Arial" w:cs="Arial"/>
          <w:sz w:val="20"/>
          <w:szCs w:val="20"/>
          <w:highlight w:val="white"/>
        </w:rPr>
        <w:t xml:space="preserve">Final Exam </w:t>
      </w:r>
      <w:r>
        <w:rPr>
          <w:rFonts w:ascii="Arial" w:eastAsia="Arial" w:hAnsi="Arial" w:cs="Arial"/>
          <w:sz w:val="20"/>
          <w:szCs w:val="20"/>
          <w:highlight w:val="white"/>
        </w:rPr>
        <w:tab/>
        <w:t xml:space="preserve"> 20%                              </w:t>
      </w:r>
      <w:r>
        <w:rPr>
          <w:rFonts w:ascii="Arial" w:eastAsia="Arial" w:hAnsi="Arial" w:cs="Arial"/>
          <w:sz w:val="20"/>
          <w:szCs w:val="20"/>
          <w:highlight w:val="white"/>
        </w:rPr>
        <w:tab/>
      </w:r>
      <w:r>
        <w:rPr>
          <w:rFonts w:ascii="Arial" w:eastAsia="Arial" w:hAnsi="Arial" w:cs="Arial"/>
          <w:sz w:val="20"/>
          <w:szCs w:val="20"/>
          <w:highlight w:val="white"/>
        </w:rPr>
        <w:tab/>
      </w:r>
    </w:p>
    <w:p w14:paraId="5A69A612" w14:textId="77777777" w:rsidR="001D0A28" w:rsidRDefault="001D0A28">
      <w:pPr>
        <w:ind w:left="720" w:firstLine="720"/>
        <w:rPr>
          <w:rFonts w:ascii="Arial" w:eastAsia="Arial" w:hAnsi="Arial" w:cs="Arial"/>
          <w:sz w:val="20"/>
          <w:szCs w:val="20"/>
          <w:highlight w:val="white"/>
        </w:rPr>
      </w:pPr>
    </w:p>
    <w:p w14:paraId="2214DAAE" w14:textId="77777777" w:rsidR="001D0A28" w:rsidRDefault="00000000">
      <w:pPr>
        <w:rPr>
          <w:rFonts w:ascii="Arial" w:eastAsia="Arial" w:hAnsi="Arial" w:cs="Arial"/>
          <w:sz w:val="20"/>
          <w:szCs w:val="20"/>
        </w:rPr>
      </w:pPr>
      <w:r>
        <w:rPr>
          <w:rFonts w:ascii="Arial" w:eastAsia="Arial" w:hAnsi="Arial" w:cs="Arial"/>
          <w:sz w:val="20"/>
          <w:szCs w:val="20"/>
          <w:highlight w:val="white"/>
        </w:rPr>
        <w:t xml:space="preserve">Missing work in the gradebook will be represented by </w:t>
      </w:r>
      <w:r>
        <w:rPr>
          <w:rFonts w:ascii="Arial" w:eastAsia="Arial" w:hAnsi="Arial" w:cs="Arial"/>
          <w:sz w:val="20"/>
          <w:szCs w:val="20"/>
          <w:highlight w:val="white"/>
          <w:u w:val="single"/>
        </w:rPr>
        <w:t xml:space="preserve">0 with the Orange Missing tag </w:t>
      </w:r>
      <w:r>
        <w:rPr>
          <w:rFonts w:ascii="Arial" w:eastAsia="Arial" w:hAnsi="Arial" w:cs="Arial"/>
          <w:sz w:val="20"/>
          <w:szCs w:val="20"/>
          <w:highlight w:val="white"/>
        </w:rPr>
        <w:t>until th</w:t>
      </w:r>
      <w:r>
        <w:rPr>
          <w:rFonts w:ascii="Arial" w:eastAsia="Arial" w:hAnsi="Arial" w:cs="Arial"/>
          <w:sz w:val="20"/>
          <w:szCs w:val="20"/>
        </w:rPr>
        <w:t>e work is turned in and graded.</w:t>
      </w:r>
    </w:p>
    <w:p w14:paraId="15160C65" w14:textId="77777777" w:rsidR="001D0A28" w:rsidRDefault="001D0A28">
      <w:pPr>
        <w:rPr>
          <w:rFonts w:ascii="Arial" w:eastAsia="Arial" w:hAnsi="Arial" w:cs="Arial"/>
          <w:sz w:val="20"/>
          <w:szCs w:val="20"/>
        </w:rPr>
      </w:pPr>
    </w:p>
    <w:tbl>
      <w:tblPr>
        <w:tblStyle w:val="a0"/>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1D0A28" w14:paraId="6255884E" w14:textId="77777777">
        <w:tc>
          <w:tcPr>
            <w:tcW w:w="10152" w:type="dxa"/>
            <w:shd w:val="clear" w:color="auto" w:fill="D9D9D9"/>
          </w:tcPr>
          <w:p w14:paraId="09E6479A" w14:textId="77777777" w:rsidR="001D0A28" w:rsidRDefault="00000000">
            <w:pPr>
              <w:jc w:val="center"/>
              <w:rPr>
                <w:rFonts w:ascii="Arial" w:eastAsia="Arial" w:hAnsi="Arial" w:cs="Arial"/>
                <w:b/>
                <w:sz w:val="20"/>
                <w:szCs w:val="20"/>
              </w:rPr>
            </w:pPr>
            <w:r>
              <w:rPr>
                <w:rFonts w:ascii="Arial" w:eastAsia="Arial" w:hAnsi="Arial" w:cs="Arial"/>
                <w:b/>
                <w:sz w:val="20"/>
                <w:szCs w:val="20"/>
              </w:rPr>
              <w:t>Homework</w:t>
            </w:r>
          </w:p>
        </w:tc>
      </w:tr>
    </w:tbl>
    <w:p w14:paraId="065AFC5E" w14:textId="77777777" w:rsidR="001D0A28" w:rsidRDefault="001D0A28">
      <w:pPr>
        <w:rPr>
          <w:rFonts w:ascii="Arial" w:eastAsia="Arial" w:hAnsi="Arial" w:cs="Arial"/>
          <w:sz w:val="20"/>
          <w:szCs w:val="20"/>
        </w:rPr>
      </w:pPr>
    </w:p>
    <w:p w14:paraId="6B90686E" w14:textId="77777777" w:rsidR="001D0A28" w:rsidRDefault="00000000">
      <w:pPr>
        <w:rPr>
          <w:rFonts w:ascii="Arial" w:eastAsia="Arial" w:hAnsi="Arial" w:cs="Arial"/>
          <w:sz w:val="20"/>
          <w:szCs w:val="20"/>
        </w:rPr>
      </w:pPr>
      <w:r>
        <w:rPr>
          <w:rFonts w:ascii="Arial" w:eastAsia="Arial" w:hAnsi="Arial" w:cs="Arial"/>
          <w:sz w:val="20"/>
          <w:szCs w:val="20"/>
        </w:rPr>
        <w:t xml:space="preserve">The Enloe Magnet High School faculty and administration believe that homework is a part of the learning process. Homework must only be an extension of class work and afford students the opportunity to practice skills and apply concepts learned in the classroom. Homework reflects content and skills explicitly taught and practiced in class first. Projects or </w:t>
      </w:r>
      <w:proofErr w:type="gramStart"/>
      <w:r>
        <w:rPr>
          <w:rFonts w:ascii="Arial" w:eastAsia="Arial" w:hAnsi="Arial" w:cs="Arial"/>
          <w:sz w:val="20"/>
          <w:szCs w:val="20"/>
        </w:rPr>
        <w:t>long term</w:t>
      </w:r>
      <w:proofErr w:type="gramEnd"/>
      <w:r>
        <w:rPr>
          <w:rFonts w:ascii="Arial" w:eastAsia="Arial" w:hAnsi="Arial" w:cs="Arial"/>
          <w:sz w:val="20"/>
          <w:szCs w:val="20"/>
        </w:rPr>
        <w:t xml:space="preserve"> work that is developed both in class and at home is not considered homework for grading practices.  </w:t>
      </w:r>
    </w:p>
    <w:p w14:paraId="1E032C57" w14:textId="77777777" w:rsidR="001D0A28" w:rsidRDefault="00000000">
      <w:pPr>
        <w:numPr>
          <w:ilvl w:val="0"/>
          <w:numId w:val="1"/>
        </w:numPr>
        <w:rPr>
          <w:rFonts w:ascii="Arial" w:eastAsia="Arial" w:hAnsi="Arial" w:cs="Arial"/>
          <w:sz w:val="20"/>
          <w:szCs w:val="20"/>
        </w:rPr>
      </w:pPr>
      <w:r>
        <w:rPr>
          <w:rFonts w:ascii="Arial" w:eastAsia="Arial" w:hAnsi="Arial" w:cs="Arial"/>
          <w:sz w:val="20"/>
          <w:szCs w:val="20"/>
        </w:rPr>
        <w:t xml:space="preserve">Students should be prepared for homework in all subjects. Board Policy R&amp;P 3135 suggests approximately 30 minutes per class session per night as a guideline. </w:t>
      </w:r>
    </w:p>
    <w:p w14:paraId="7AC8BA20" w14:textId="77777777" w:rsidR="001D0A28" w:rsidRDefault="00000000">
      <w:pPr>
        <w:numPr>
          <w:ilvl w:val="0"/>
          <w:numId w:val="1"/>
        </w:numPr>
        <w:rPr>
          <w:rFonts w:ascii="Arial" w:eastAsia="Arial" w:hAnsi="Arial" w:cs="Arial"/>
          <w:sz w:val="20"/>
          <w:szCs w:val="20"/>
        </w:rPr>
      </w:pPr>
      <w:r>
        <w:rPr>
          <w:rFonts w:ascii="Arial" w:eastAsia="Arial" w:hAnsi="Arial" w:cs="Arial"/>
          <w:sz w:val="20"/>
          <w:szCs w:val="20"/>
        </w:rPr>
        <w:t xml:space="preserve">Completion grades will not be the sole factor in a student’s homework grade. </w:t>
      </w:r>
    </w:p>
    <w:p w14:paraId="01996A7F" w14:textId="77777777" w:rsidR="001D0A28" w:rsidRDefault="00000000">
      <w:pPr>
        <w:numPr>
          <w:ilvl w:val="0"/>
          <w:numId w:val="1"/>
        </w:numPr>
        <w:rPr>
          <w:rFonts w:ascii="Arial" w:eastAsia="Arial" w:hAnsi="Arial" w:cs="Arial"/>
          <w:sz w:val="20"/>
          <w:szCs w:val="20"/>
        </w:rPr>
      </w:pPr>
      <w:r>
        <w:rPr>
          <w:rFonts w:ascii="Arial" w:eastAsia="Arial" w:hAnsi="Arial" w:cs="Arial"/>
          <w:sz w:val="20"/>
          <w:szCs w:val="20"/>
        </w:rPr>
        <w:t>Late homework will be accepted by the teacher throughout the quarter in order to provide the student with feedback.  Late homework can be an alternate assessment of the same standard</w:t>
      </w:r>
    </w:p>
    <w:p w14:paraId="759729D4" w14:textId="77777777" w:rsidR="001D0A28" w:rsidRDefault="001D0A28">
      <w:pPr>
        <w:rPr>
          <w:rFonts w:ascii="Arial" w:eastAsia="Arial" w:hAnsi="Arial" w:cs="Arial"/>
          <w:sz w:val="16"/>
          <w:szCs w:val="16"/>
        </w:rPr>
      </w:pPr>
    </w:p>
    <w:tbl>
      <w:tblPr>
        <w:tblStyle w:val="a1"/>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1D0A28" w14:paraId="2296AE8D" w14:textId="77777777">
        <w:tc>
          <w:tcPr>
            <w:tcW w:w="10152" w:type="dxa"/>
            <w:shd w:val="clear" w:color="auto" w:fill="D9D9D9"/>
          </w:tcPr>
          <w:p w14:paraId="432CA3DA" w14:textId="77777777" w:rsidR="001D0A28" w:rsidRDefault="00000000">
            <w:pPr>
              <w:jc w:val="center"/>
              <w:rPr>
                <w:rFonts w:ascii="Arial" w:eastAsia="Arial" w:hAnsi="Arial" w:cs="Arial"/>
                <w:b/>
                <w:sz w:val="20"/>
                <w:szCs w:val="20"/>
              </w:rPr>
            </w:pPr>
            <w:r>
              <w:rPr>
                <w:rFonts w:ascii="Arial" w:eastAsia="Arial" w:hAnsi="Arial" w:cs="Arial"/>
                <w:b/>
                <w:sz w:val="20"/>
                <w:szCs w:val="20"/>
              </w:rPr>
              <w:t>Missed/Late Work</w:t>
            </w:r>
          </w:p>
        </w:tc>
      </w:tr>
    </w:tbl>
    <w:p w14:paraId="09B30E39" w14:textId="77777777" w:rsidR="001D0A28" w:rsidRDefault="001D0A28">
      <w:pPr>
        <w:rPr>
          <w:rFonts w:ascii="Arial" w:eastAsia="Arial" w:hAnsi="Arial" w:cs="Arial"/>
          <w:sz w:val="20"/>
          <w:szCs w:val="20"/>
        </w:rPr>
      </w:pPr>
    </w:p>
    <w:p w14:paraId="3535609F" w14:textId="77777777" w:rsidR="001D0A28" w:rsidRDefault="00000000">
      <w:pPr>
        <w:rPr>
          <w:rFonts w:ascii="Arial" w:eastAsia="Arial" w:hAnsi="Arial" w:cs="Arial"/>
          <w:sz w:val="20"/>
          <w:szCs w:val="20"/>
        </w:rPr>
      </w:pPr>
      <w:r>
        <w:rPr>
          <w:rFonts w:ascii="Arial" w:eastAsia="Arial" w:hAnsi="Arial" w:cs="Arial"/>
          <w:sz w:val="20"/>
          <w:szCs w:val="20"/>
        </w:rPr>
        <w:t>The following are school-wide expectations for missed and/or late work:</w:t>
      </w:r>
    </w:p>
    <w:p w14:paraId="5BC88B47" w14:textId="77777777" w:rsidR="001D0A28" w:rsidRDefault="001D0A28">
      <w:pPr>
        <w:rPr>
          <w:rFonts w:ascii="Arial" w:eastAsia="Arial" w:hAnsi="Arial" w:cs="Arial"/>
          <w:sz w:val="20"/>
          <w:szCs w:val="20"/>
        </w:rPr>
      </w:pPr>
    </w:p>
    <w:p w14:paraId="379402A1" w14:textId="77777777" w:rsidR="001D0A2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Students are expected to complete all assignments in each class. </w:t>
      </w:r>
    </w:p>
    <w:p w14:paraId="44359A2D" w14:textId="77777777" w:rsidR="001D0A28" w:rsidRDefault="00000000">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Missed work (from an absence) or an alternate assignment provided by the teacher should be completed by the unit assessment on the material.</w:t>
      </w:r>
    </w:p>
    <w:p w14:paraId="57689952" w14:textId="77777777" w:rsidR="001D0A28" w:rsidRDefault="00000000">
      <w:pPr>
        <w:numPr>
          <w:ilvl w:val="0"/>
          <w:numId w:val="2"/>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Late work (not turned in on time and not due to an absence) or an alternate assignment after the unit assessment should be submitted to the teacher within the specified time each quarter. Those dates are:</w:t>
      </w:r>
    </w:p>
    <w:p w14:paraId="62CECAFC" w14:textId="77777777" w:rsidR="001D0A28" w:rsidRDefault="00000000">
      <w:pPr>
        <w:numPr>
          <w:ilvl w:val="1"/>
          <w:numId w:val="2"/>
        </w:numPr>
        <w:rPr>
          <w:rFonts w:ascii="Arial" w:eastAsia="Arial" w:hAnsi="Arial" w:cs="Arial"/>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1: October 28</w:t>
      </w:r>
    </w:p>
    <w:p w14:paraId="324E0A7A" w14:textId="77777777" w:rsidR="001D0A28" w:rsidRDefault="00000000">
      <w:pPr>
        <w:numPr>
          <w:ilvl w:val="1"/>
          <w:numId w:val="2"/>
        </w:numPr>
        <w:rPr>
          <w:rFonts w:ascii="Arial" w:eastAsia="Arial" w:hAnsi="Arial" w:cs="Arial"/>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2: January 23</w:t>
      </w:r>
    </w:p>
    <w:p w14:paraId="76F4B77E" w14:textId="77777777" w:rsidR="001D0A28" w:rsidRDefault="00000000">
      <w:pPr>
        <w:numPr>
          <w:ilvl w:val="1"/>
          <w:numId w:val="2"/>
        </w:numPr>
        <w:rPr>
          <w:rFonts w:ascii="Arial" w:eastAsia="Arial" w:hAnsi="Arial" w:cs="Arial"/>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3: March 27</w:t>
      </w:r>
    </w:p>
    <w:p w14:paraId="2530606D" w14:textId="77777777" w:rsidR="001D0A28" w:rsidRDefault="00000000">
      <w:pPr>
        <w:numPr>
          <w:ilvl w:val="1"/>
          <w:numId w:val="2"/>
        </w:numPr>
        <w:rPr>
          <w:rFonts w:ascii="Arial" w:eastAsia="Arial" w:hAnsi="Arial" w:cs="Arial"/>
          <w:sz w:val="20"/>
          <w:szCs w:val="20"/>
        </w:rPr>
      </w:pPr>
      <w:r>
        <w:rPr>
          <w:rFonts w:ascii="Courier New" w:eastAsia="Courier New" w:hAnsi="Courier New" w:cs="Courier New"/>
          <w:sz w:val="20"/>
          <w:szCs w:val="20"/>
        </w:rPr>
        <w:t>o</w:t>
      </w:r>
      <w:r>
        <w:rPr>
          <w:rFonts w:ascii="Times New Roman" w:eastAsia="Times New Roman" w:hAnsi="Times New Roman" w:cs="Times New Roman"/>
          <w:sz w:val="14"/>
          <w:szCs w:val="14"/>
        </w:rPr>
        <w:t xml:space="preserve">   </w:t>
      </w:r>
      <w:r>
        <w:rPr>
          <w:rFonts w:ascii="Arial" w:eastAsia="Arial" w:hAnsi="Arial" w:cs="Arial"/>
          <w:sz w:val="20"/>
          <w:szCs w:val="20"/>
        </w:rPr>
        <w:t>Quarter 4: May 25</w:t>
      </w:r>
    </w:p>
    <w:p w14:paraId="4BEFEE9E" w14:textId="77777777" w:rsidR="001D0A2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PLTs must create and communicate in their syllabus a consistent plan for accepting missed/late work</w:t>
      </w:r>
      <w:r>
        <w:rPr>
          <w:rFonts w:ascii="Arial" w:eastAsia="Arial" w:hAnsi="Arial" w:cs="Arial"/>
          <w:sz w:val="20"/>
          <w:szCs w:val="20"/>
        </w:rPr>
        <w:t xml:space="preserve"> and</w:t>
      </w:r>
      <w:r>
        <w:rPr>
          <w:rFonts w:ascii="Arial" w:eastAsia="Arial" w:hAnsi="Arial" w:cs="Arial"/>
          <w:color w:val="000000"/>
          <w:sz w:val="20"/>
          <w:szCs w:val="20"/>
        </w:rPr>
        <w:t xml:space="preserve"> </w:t>
      </w:r>
      <w:r>
        <w:rPr>
          <w:rFonts w:ascii="Arial" w:eastAsia="Arial" w:hAnsi="Arial" w:cs="Arial"/>
          <w:sz w:val="20"/>
          <w:szCs w:val="20"/>
        </w:rPr>
        <w:t>define adequate</w:t>
      </w:r>
      <w:r>
        <w:rPr>
          <w:rFonts w:ascii="Arial" w:eastAsia="Arial" w:hAnsi="Arial" w:cs="Arial"/>
          <w:color w:val="000000"/>
          <w:sz w:val="20"/>
          <w:szCs w:val="20"/>
        </w:rPr>
        <w:t xml:space="preserve"> time</w:t>
      </w:r>
      <w:r>
        <w:rPr>
          <w:rFonts w:ascii="Arial" w:eastAsia="Arial" w:hAnsi="Arial" w:cs="Arial"/>
          <w:sz w:val="20"/>
          <w:szCs w:val="20"/>
        </w:rPr>
        <w:t xml:space="preserve"> for submission of missed work within the grading period. The plan</w:t>
      </w:r>
      <w:r>
        <w:rPr>
          <w:rFonts w:ascii="Arial" w:eastAsia="Arial" w:hAnsi="Arial" w:cs="Arial"/>
          <w:color w:val="000000"/>
          <w:sz w:val="20"/>
          <w:szCs w:val="20"/>
        </w:rPr>
        <w:t xml:space="preserve"> must be in alignment with</w:t>
      </w:r>
      <w:r>
        <w:rPr>
          <w:rFonts w:ascii="Arial" w:eastAsia="Arial" w:hAnsi="Arial" w:cs="Arial"/>
          <w:sz w:val="20"/>
          <w:szCs w:val="20"/>
        </w:rPr>
        <w:t xml:space="preserve"> Enloe policy</w:t>
      </w:r>
      <w:r>
        <w:rPr>
          <w:rFonts w:ascii="Arial" w:eastAsia="Arial" w:hAnsi="Arial" w:cs="Arial"/>
          <w:color w:val="000000"/>
          <w:sz w:val="20"/>
          <w:szCs w:val="20"/>
        </w:rPr>
        <w:t xml:space="preserve"> and </w:t>
      </w:r>
      <w:r>
        <w:rPr>
          <w:rFonts w:ascii="Arial" w:eastAsia="Arial" w:hAnsi="Arial" w:cs="Arial"/>
          <w:sz w:val="20"/>
          <w:szCs w:val="20"/>
        </w:rPr>
        <w:t>WCPSS School Board Policy and will not be punitive in nature.</w:t>
      </w:r>
    </w:p>
    <w:p w14:paraId="4EA20601" w14:textId="77777777" w:rsidR="001D0A28" w:rsidRDefault="001D0A28">
      <w:pPr>
        <w:pBdr>
          <w:top w:val="nil"/>
          <w:left w:val="nil"/>
          <w:bottom w:val="nil"/>
          <w:right w:val="nil"/>
          <w:between w:val="nil"/>
        </w:pBdr>
        <w:ind w:left="720"/>
        <w:rPr>
          <w:rFonts w:ascii="Arial" w:eastAsia="Arial" w:hAnsi="Arial" w:cs="Arial"/>
          <w:sz w:val="20"/>
          <w:szCs w:val="20"/>
        </w:rPr>
      </w:pPr>
    </w:p>
    <w:tbl>
      <w:tblPr>
        <w:tblStyle w:val="a2"/>
        <w:tblW w:w="101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152"/>
      </w:tblGrid>
      <w:tr w:rsidR="001D0A28" w14:paraId="32ABCFFA" w14:textId="77777777">
        <w:tc>
          <w:tcPr>
            <w:tcW w:w="10152" w:type="dxa"/>
            <w:shd w:val="clear" w:color="auto" w:fill="D9D9D9"/>
          </w:tcPr>
          <w:p w14:paraId="38CD2FB4" w14:textId="77777777" w:rsidR="001D0A28" w:rsidRDefault="00000000">
            <w:pPr>
              <w:jc w:val="center"/>
              <w:rPr>
                <w:rFonts w:ascii="Arial" w:eastAsia="Arial" w:hAnsi="Arial" w:cs="Arial"/>
                <w:b/>
                <w:sz w:val="20"/>
                <w:szCs w:val="20"/>
              </w:rPr>
            </w:pPr>
            <w:r>
              <w:rPr>
                <w:rFonts w:ascii="Arial" w:eastAsia="Arial" w:hAnsi="Arial" w:cs="Arial"/>
                <w:b/>
                <w:sz w:val="20"/>
                <w:szCs w:val="20"/>
              </w:rPr>
              <w:t>Prevention-Intervention Plan</w:t>
            </w:r>
          </w:p>
        </w:tc>
      </w:tr>
    </w:tbl>
    <w:p w14:paraId="04567D85" w14:textId="77777777" w:rsidR="001D0A28" w:rsidRDefault="00000000">
      <w:pPr>
        <w:pBdr>
          <w:top w:val="nil"/>
          <w:left w:val="nil"/>
          <w:bottom w:val="nil"/>
          <w:right w:val="nil"/>
          <w:between w:val="nil"/>
        </w:pBdr>
        <w:tabs>
          <w:tab w:val="left" w:pos="4680"/>
        </w:tabs>
        <w:ind w:hanging="720"/>
        <w:rPr>
          <w:rFonts w:ascii="Arial" w:eastAsia="Arial" w:hAnsi="Arial" w:cs="Arial"/>
          <w:sz w:val="20"/>
          <w:szCs w:val="20"/>
        </w:rPr>
      </w:pPr>
      <w:r>
        <w:rPr>
          <w:rFonts w:ascii="Arial" w:eastAsia="Arial" w:hAnsi="Arial" w:cs="Arial"/>
          <w:sz w:val="20"/>
          <w:szCs w:val="20"/>
        </w:rPr>
        <w:tab/>
        <w:t>PLT Prevention Plan:</w:t>
      </w:r>
    </w:p>
    <w:p w14:paraId="051A06AD" w14:textId="77777777" w:rsidR="001D0A28" w:rsidRDefault="00000000">
      <w:pPr>
        <w:pBdr>
          <w:top w:val="nil"/>
          <w:left w:val="nil"/>
          <w:bottom w:val="nil"/>
          <w:right w:val="nil"/>
          <w:between w:val="nil"/>
        </w:pBdr>
        <w:tabs>
          <w:tab w:val="left" w:pos="4680"/>
        </w:tabs>
        <w:ind w:hanging="720"/>
        <w:rPr>
          <w:rFonts w:ascii="Arial" w:eastAsia="Arial" w:hAnsi="Arial" w:cs="Arial"/>
          <w:sz w:val="20"/>
          <w:szCs w:val="20"/>
        </w:rPr>
      </w:pPr>
      <w:r>
        <w:rPr>
          <w:rFonts w:ascii="Arial" w:eastAsia="Arial" w:hAnsi="Arial" w:cs="Arial"/>
          <w:sz w:val="20"/>
          <w:szCs w:val="20"/>
        </w:rPr>
        <w:tab/>
        <w:t>Quarter Retakes to replace Lowest Test grade up to a 70</w:t>
      </w:r>
    </w:p>
    <w:p w14:paraId="527EC688" w14:textId="77777777" w:rsidR="001D0A28" w:rsidRDefault="00000000">
      <w:pPr>
        <w:pBdr>
          <w:top w:val="nil"/>
          <w:left w:val="nil"/>
          <w:bottom w:val="nil"/>
          <w:right w:val="nil"/>
          <w:between w:val="nil"/>
        </w:pBdr>
        <w:tabs>
          <w:tab w:val="left" w:pos="4680"/>
        </w:tabs>
        <w:ind w:hanging="720"/>
        <w:rPr>
          <w:rFonts w:ascii="Arial" w:eastAsia="Arial" w:hAnsi="Arial" w:cs="Arial"/>
          <w:sz w:val="20"/>
          <w:szCs w:val="20"/>
        </w:rPr>
      </w:pPr>
      <w:r>
        <w:rPr>
          <w:rFonts w:ascii="Arial" w:eastAsia="Arial" w:hAnsi="Arial" w:cs="Arial"/>
          <w:sz w:val="20"/>
          <w:szCs w:val="20"/>
        </w:rPr>
        <w:tab/>
        <w:t xml:space="preserve">PLT Intervention Plan: </w:t>
      </w:r>
    </w:p>
    <w:p w14:paraId="64932546" w14:textId="77777777" w:rsidR="001D0A28" w:rsidRDefault="00000000">
      <w:pPr>
        <w:pBdr>
          <w:top w:val="nil"/>
          <w:left w:val="nil"/>
          <w:bottom w:val="nil"/>
          <w:right w:val="nil"/>
          <w:between w:val="nil"/>
        </w:pBdr>
        <w:tabs>
          <w:tab w:val="left" w:pos="4680"/>
        </w:tabs>
        <w:ind w:hanging="720"/>
        <w:rPr>
          <w:rFonts w:ascii="Arial" w:eastAsia="Arial" w:hAnsi="Arial" w:cs="Arial"/>
          <w:sz w:val="20"/>
          <w:szCs w:val="20"/>
        </w:rPr>
      </w:pPr>
      <w:r>
        <w:rPr>
          <w:rFonts w:ascii="Arial" w:eastAsia="Arial" w:hAnsi="Arial" w:cs="Arial"/>
          <w:sz w:val="20"/>
          <w:szCs w:val="20"/>
        </w:rPr>
        <w:tab/>
        <w:t xml:space="preserve">Students who fail will be offered a Credit Recovery Plan. </w:t>
      </w:r>
    </w:p>
    <w:p w14:paraId="7C09CE69" w14:textId="77777777" w:rsidR="001D0A28" w:rsidRDefault="001D0A28">
      <w:pPr>
        <w:rPr>
          <w:rFonts w:ascii="Arial" w:eastAsia="Arial" w:hAnsi="Arial" w:cs="Arial"/>
          <w:sz w:val="20"/>
          <w:szCs w:val="20"/>
        </w:rPr>
      </w:pPr>
    </w:p>
    <w:sectPr w:rsidR="001D0A28">
      <w:footerReference w:type="default" r:id="rId7"/>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D715" w14:textId="77777777" w:rsidR="00511B89" w:rsidRDefault="00511B89">
      <w:r>
        <w:separator/>
      </w:r>
    </w:p>
  </w:endnote>
  <w:endnote w:type="continuationSeparator" w:id="0">
    <w:p w14:paraId="10FD4886" w14:textId="77777777" w:rsidR="00511B89" w:rsidRDefault="0051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955A" w14:textId="77777777" w:rsidR="001D0A28" w:rsidRDefault="00000000">
    <w:pPr>
      <w:rPr>
        <w:rFonts w:ascii="Arial" w:eastAsia="Arial" w:hAnsi="Arial" w:cs="Arial"/>
        <w:sz w:val="16"/>
        <w:szCs w:val="16"/>
      </w:rPr>
    </w:pPr>
    <w:r>
      <w:rPr>
        <w:rFonts w:ascii="Arial" w:eastAsia="Arial" w:hAnsi="Arial" w:cs="Arial"/>
        <w:sz w:val="16"/>
        <w:szCs w:val="16"/>
      </w:rPr>
      <w:t>Revised 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3E83" w14:textId="77777777" w:rsidR="00511B89" w:rsidRDefault="00511B89">
      <w:r>
        <w:separator/>
      </w:r>
    </w:p>
  </w:footnote>
  <w:footnote w:type="continuationSeparator" w:id="0">
    <w:p w14:paraId="35794F4E" w14:textId="77777777" w:rsidR="00511B89" w:rsidRDefault="0051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ABB"/>
    <w:multiLevelType w:val="multilevel"/>
    <w:tmpl w:val="6FF46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0575A"/>
    <w:multiLevelType w:val="multilevel"/>
    <w:tmpl w:val="ACFA6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2190127">
    <w:abstractNumId w:val="0"/>
  </w:num>
  <w:num w:numId="2" w16cid:durableId="2049134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8"/>
    <w:rsid w:val="001D0A28"/>
    <w:rsid w:val="00511B89"/>
    <w:rsid w:val="00CA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2C69F"/>
  <w15:docId w15:val="{CA24B7D0-EA27-564F-904B-D805C7F9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 Pate</cp:lastModifiedBy>
  <cp:revision>2</cp:revision>
  <dcterms:created xsi:type="dcterms:W3CDTF">2022-08-24T13:55:00Z</dcterms:created>
  <dcterms:modified xsi:type="dcterms:W3CDTF">2022-08-24T13:55:00Z</dcterms:modified>
</cp:coreProperties>
</file>